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1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Hans"/>
        </w:rPr>
        <w:t>中小学艺术美育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专项课题指南</w:t>
      </w:r>
      <w:bookmarkStart w:id="0" w:name="bookmark28"/>
      <w:bookmarkEnd w:id="0"/>
    </w:p>
    <w:bookmarkEnd w:id="1"/>
    <w:p>
      <w:pPr>
        <w:rPr>
          <w:rFonts w:hint="default"/>
          <w:lang w:eastAsia="zh-Hans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本选题指南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立足于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Hans"/>
        </w:rPr>
        <w:t>经开区中小学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艺术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Hans"/>
        </w:rPr>
        <w:t>美育教育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Hans"/>
        </w:rPr>
        <w:t>发展现状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和现实需求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紧密契合新时代中小学艺术美育的现实要求，为加快培养能力强、素质高的专业化中小学艺术美育师资队伍而有目的性设计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专项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研究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课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。有意向申请的教师需以该指南为依据，并结合自己的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学科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特点和教学领域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进行个性化、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</w:rPr>
        <w:t>校本化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的题目加工和确定。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古琴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艺术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在中小学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中的美育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功能研究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古琴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艺术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进课堂的可行性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问题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非物质文化遗产校园传承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演艺实践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“古琴音乐”校本课程的开发与实践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.古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文化历史源流研究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6.中国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琴人经典故事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.古琴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艺术与学科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融合策略研究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“双减”背景下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古琴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社团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育中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审美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意识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培养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古琴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传承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与运行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模式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.中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校本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教材编写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规划研究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艺术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美育与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融合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.小学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艺术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美育校本课程开发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与有效实施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.中小学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艺术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美育教学案例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收集与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分析研究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.现代教育技术手段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助推艺术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美育教学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效能提升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.全面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发展育人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体系下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艺术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美育综合改革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艺术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美育教师队伍建设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.提升家庭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艺术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美育指导能力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实践策略研究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新时代中小学艺术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美育教学评价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问题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.“互联网+”视域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艺术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美育课堂形态研究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21.美术课堂中学生美德养成策略研究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22.戏曲角色人物内涵挖掘及育人功能研究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23.舞蹈课堂艺术的情操策略探究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24.文学阅读与创意表达中美育教学案例研究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25.红色影视作品鉴赏中美育课例研究</w:t>
      </w: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WM1NWUzNzAxYjNjMWFkY2I5NDIzMTMzNzA4NjgifQ=="/>
  </w:docVars>
  <w:rsids>
    <w:rsidRoot w:val="710D171D"/>
    <w:rsid w:val="710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2022-11-14T06:59:00Z</dcterms:created>
  <dc:creator>兔子</dc:creator>
  <cp:lastModifiedBy>兔子</cp:lastModifiedBy>
  <dcterms:modified xsi:type="dcterms:W3CDTF">2022-11-14T07:01:32Z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B2E9138FFB644CA5A2D6BD7ECD93A53B</vt:lpwstr>
  </property>
</Properties>
</file>